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398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1110"/>
        <w:gridCol w:w="5482"/>
        <w:gridCol w:w="7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3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仿宋" w:hAnsi="华文仿宋" w:eastAsia="华文仿宋" w:cs="华文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湖南工商大学研究生在线开放课程建设验收评审标准（试行）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评审标准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课程团队 (5分)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负责人</w:t>
            </w: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具有良好师德，教学能力强，教学经验丰富，教学特色鲜明，教学成果显著。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团队成员</w:t>
            </w: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团队知识结构、年龄结构、学缘结构及任务分工合理，团队成员包括专业教师和教育技术骨干。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教学经验</w:t>
            </w: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团队成员具有网络教学或在线开放课程建设经验；有相关翻转教学、科研论文和成果。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0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课程内容 与资源(26分)</w:t>
            </w:r>
          </w:p>
        </w:tc>
        <w:tc>
          <w:tcPr>
            <w:tcW w:w="11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内容选择</w:t>
            </w: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1.体现现代研究生教育思想，符合研究生教育教学规律，及时反映学科最新发展成果和教改教研成果，具有科学性、前沿性、创新性、高阶性；</w:t>
            </w:r>
          </w:p>
        </w:tc>
        <w:tc>
          <w:tcPr>
            <w:tcW w:w="73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2.适应在线开放教育与学习需要，有助于学习者创新能力、实践能力和可持续发展能力的培养。</w:t>
            </w:r>
          </w:p>
        </w:tc>
        <w:tc>
          <w:tcPr>
            <w:tcW w:w="73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内容组织</w:t>
            </w: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1.教学内容结构完整，教学单元的设计和知识点、技能点的拆分或配置合理；</w:t>
            </w:r>
          </w:p>
        </w:tc>
        <w:tc>
          <w:tcPr>
            <w:tcW w:w="7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2.各类基本资源均按照教学单元、专题或模块的框架，予以合理有序的组织和配置，与章节目标对应清晰；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课程资源</w:t>
            </w: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1.课程基本资源系统完整，能反映本课程教学理念、教学思想、教学设计，展现课程团队教学风采；</w:t>
            </w:r>
          </w:p>
        </w:tc>
        <w:tc>
          <w:tcPr>
            <w:tcW w:w="7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2.课程网页、视频、教案和演示文稿等精心设计和制作，应用效果好，有助于激发学生学习兴趣；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3.学习任务设置清晰明了；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4.符合在线开放课程建设技术要求；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5.有与在线课程对应的数字资源。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课程教学视频讲授质量</w:t>
            </w: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1.仪态端庄、举止从容；</w:t>
            </w:r>
          </w:p>
        </w:tc>
        <w:tc>
          <w:tcPr>
            <w:tcW w:w="7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2.语调适宜，语言生动，充满感染力；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3.教学方法丰富多样，注意学生创新能力的培养；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4.按照学科体系特点构建课程，有完整的知识点教学视频内容；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5.符合在线开放课程建设技术要求。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0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课程教学 设计(28分)</w:t>
            </w:r>
          </w:p>
        </w:tc>
        <w:tc>
          <w:tcPr>
            <w:tcW w:w="11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教学目标</w:t>
            </w: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1.能够根据课程特点和学生层次制定教学目标，知识、能力与价值目标，目标明确、适当；</w:t>
            </w:r>
          </w:p>
        </w:tc>
        <w:tc>
          <w:tcPr>
            <w:tcW w:w="7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2.课程本身与每个单元都有明确的知识、能力、价值思政目标，目标实现与否可以测量；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3.教学活动、学习评价和教学资源以教学目标为导向。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教学活动</w:t>
            </w: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1.学习活动目标明确；</w:t>
            </w:r>
          </w:p>
        </w:tc>
        <w:tc>
          <w:tcPr>
            <w:tcW w:w="7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2.能运用多种方式、多种手段开展学生的学习活动；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3.有必要的指导，能为学生提供帮助；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4.提供支持学生自主学习和协作学习的条件，能激发学生的学习积极性和主动性，注重对学习能力的培养；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5.活动形式多样包括但不限于在线异步讨论、信息提醒、测验、教师答疑、作业、线下讨论、问卷、实时讨论和一对一辅导。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学习评价</w:t>
            </w: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1.根据课程特点建立多元化学习评价体系，探索线上和线下融合、形成性评价与总结性评价相结合的方式，有明确合理的评价策略，包括完成课程学习必须的作业数量及评分的标准、测试数量及标准等,反馈及时；            </w:t>
            </w:r>
          </w:p>
        </w:tc>
        <w:tc>
          <w:tcPr>
            <w:tcW w:w="7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2.记录学习和交互过程，并用于学习评价和教学研究；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3.课程评价考核合理，类型形式多样，包括但不限于随堂小测验、单元测验、单元作业、讨论、调查、线下考试、期末考试和作业。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教学方法</w:t>
            </w: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根据课程内容和学生特点，灵活运用案例分析、线上/线下分组讨论、角色扮演、启发引导等教学方法，引导学生积极思考、乐于实践，提高教学效果。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教学互动</w:t>
            </w: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1.注重信息技术的应用，人机交互模式灵活多样；</w:t>
            </w:r>
          </w:p>
        </w:tc>
        <w:tc>
          <w:tcPr>
            <w:tcW w:w="7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2.师生积极参与互动，答疑回复间隔时间较短；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3.在条件允许的情况下组织进行线下交互。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068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学习支持与学习效果（25分）</w:t>
            </w:r>
          </w:p>
        </w:tc>
        <w:tc>
          <w:tcPr>
            <w:tcW w:w="11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团队支持</w:t>
            </w: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1.课程建设负责人有良好师德、丰富的教学经验和较高的学术造诣的教师，至少应承担本课程25%以上的授课视频录制任务；</w:t>
            </w:r>
          </w:p>
        </w:tc>
        <w:tc>
          <w:tcPr>
            <w:tcW w:w="73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2.课程团队任务团结合作、分工合理，能提供高效在线课程学习服务，保证及时在线辅导与答疑等。</w:t>
            </w:r>
          </w:p>
        </w:tc>
        <w:tc>
          <w:tcPr>
            <w:tcW w:w="73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导学服务</w:t>
            </w: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提供完整的课程介绍、学习指南、常见问题、课程推荐等服务，引导学生了解和适应学习环境，指导学生学习课程内容并参与学习活动。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督学服务</w:t>
            </w: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提供对学习者学习过程和学习计划执行情况的追踪记录，判断学习者的学习进度，同时为学习者提供及时的反馈信息。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0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助学服务</w:t>
            </w: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为学生提供实时讨论、线下讨论、问题反馈等服务，帮助学生在具体课程的学习中顺利完成学习任务，达到预定学习目标。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0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学生评价</w:t>
            </w: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1.依照学校教学计划进行修读本课程的学生，其线上学习情况应纳入课程成绩考核体系；</w:t>
            </w:r>
          </w:p>
        </w:tc>
        <w:tc>
          <w:tcPr>
            <w:tcW w:w="73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06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2.调查学习过该课程学生对课程的使用情况。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0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 w:colFirst="0" w:colLast="0"/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建设措施 及效果 (16分)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建设规范</w:t>
            </w:r>
          </w:p>
        </w:tc>
        <w:tc>
          <w:tcPr>
            <w:tcW w:w="5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课程资源内容不存在政治性、思想性、科学性和规范性问题；所使用的课程资源知识产权清晰，无侵权使用的情况；课程资源及申报材料不涉及国家安全和保密的相关规定，可以在网络上公开传播与使用。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 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建设措施</w:t>
            </w:r>
          </w:p>
        </w:tc>
        <w:tc>
          <w:tcPr>
            <w:tcW w:w="5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1.建设方式、资源更新措施、课程日常维护、激励措施等机制完善；</w:t>
            </w:r>
          </w:p>
        </w:tc>
        <w:tc>
          <w:tcPr>
            <w:tcW w:w="738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2.鼓励校际、校企联合开发。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共享措施</w:t>
            </w:r>
          </w:p>
        </w:tc>
        <w:tc>
          <w:tcPr>
            <w:tcW w:w="5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1.有推动共享的激励政策；</w:t>
            </w:r>
          </w:p>
        </w:tc>
        <w:tc>
          <w:tcPr>
            <w:tcW w:w="738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2.校际共享、校内共享、跨领域共享等多种共享方式。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06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共享效果</w:t>
            </w:r>
          </w:p>
        </w:tc>
        <w:tc>
          <w:tcPr>
            <w:tcW w:w="5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提供外校选课，并提供教学支持。</w:t>
            </w:r>
          </w:p>
        </w:tc>
        <w:tc>
          <w:tcPr>
            <w:tcW w:w="738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0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课程特色</w:t>
            </w:r>
          </w:p>
        </w:tc>
        <w:tc>
          <w:tcPr>
            <w:tcW w:w="5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课程有明显特色，值得推广使用。</w:t>
            </w: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66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16" w:firstLineChars="210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kZTRiZTRhZmNjZDhkZmJmOGFjYzY0YjBkNGNlMTAifQ=="/>
  </w:docVars>
  <w:rsids>
    <w:rsidRoot w:val="41143B26"/>
    <w:rsid w:val="0858227F"/>
    <w:rsid w:val="19A846E9"/>
    <w:rsid w:val="41143B26"/>
    <w:rsid w:val="62D50A21"/>
    <w:rsid w:val="685D0F8D"/>
    <w:rsid w:val="774C5829"/>
    <w:rsid w:val="7B4C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1813</Words>
  <Characters>1862</Characters>
  <Lines>0</Lines>
  <Paragraphs>0</Paragraphs>
  <TotalTime>0</TotalTime>
  <ScaleCrop>false</ScaleCrop>
  <LinksUpToDate>false</LinksUpToDate>
  <CharactersWithSpaces>1898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2023-07-13T06:04:00Z</dcterms:created>
  <dc:creator>周怡年</dc:creator>
  <cp:lastModifiedBy>周怡年</cp:lastModifiedBy>
  <dcterms:modified xsi:type="dcterms:W3CDTF">2023-07-15T13:50:58Z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9F11F71AFBFD4ECE91A8B0EC55E0F7B8_11</vt:lpwstr>
  </property>
</Properties>
</file>