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培养方案管理及培养计划填写提交操作手册</w:t>
      </w:r>
      <w:bookmarkStart w:id="0" w:name="_GoBack"/>
      <w:bookmarkEnd w:id="0"/>
    </w:p>
    <w:p>
      <w:pPr>
        <w:jc w:val="center"/>
        <w:rPr>
          <w:rFonts w:hint="eastAsia" w:ascii="黑体" w:hAnsi="黑体" w:eastAsia="黑体" w:cs="黑体"/>
          <w:b/>
          <w:bCs/>
          <w:i w:val="0"/>
          <w:iCs w:val="0"/>
          <w:sz w:val="24"/>
          <w:szCs w:val="32"/>
          <w:u w:val="none"/>
          <w:lang w:val="en-US" w:eastAsia="zh-Hans"/>
        </w:rPr>
      </w:pPr>
      <w:r>
        <w:rPr>
          <w:rFonts w:hint="eastAsia" w:ascii="黑体" w:hAnsi="黑体" w:eastAsia="黑体" w:cs="黑体"/>
          <w:b/>
          <w:bCs/>
          <w:i w:val="0"/>
          <w:iCs w:val="0"/>
          <w:sz w:val="24"/>
          <w:szCs w:val="32"/>
          <w:u w:val="none"/>
          <w:lang w:val="en-US" w:eastAsia="zh-Hans"/>
        </w:rPr>
        <w:t>学生端</w:t>
      </w:r>
    </w:p>
    <w:p>
      <w:pPr>
        <w:jc w:val="both"/>
        <w:rPr>
          <w:rFonts w:hint="eastAsia" w:ascii="黑体" w:hAnsi="黑体" w:eastAsia="黑体" w:cs="黑体"/>
          <w:b/>
          <w:bCs/>
          <w:i w:val="0"/>
          <w:iCs w:val="0"/>
          <w:sz w:val="24"/>
          <w:szCs w:val="32"/>
          <w:u w:val="none"/>
          <w:lang w:val="en-US" w:eastAsia="zh-Hans"/>
        </w:rPr>
      </w:pPr>
    </w:p>
    <w:p>
      <w:pPr>
        <w:pStyle w:val="2"/>
        <w:bidi w:val="0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一</w:t>
      </w:r>
      <w:r>
        <w:rPr>
          <w:rFonts w:hint="eastAsia"/>
          <w:sz w:val="28"/>
          <w:szCs w:val="28"/>
          <w:lang w:eastAsia="zh-Hans"/>
        </w:rPr>
        <w:t>、</w:t>
      </w:r>
      <w:r>
        <w:rPr>
          <w:rFonts w:hint="eastAsia"/>
          <w:sz w:val="28"/>
          <w:szCs w:val="28"/>
          <w:lang w:val="en-US" w:eastAsia="zh-Hans"/>
        </w:rPr>
        <w:t>pc端登陆</w:t>
      </w:r>
    </w:p>
    <w:p>
      <w:pPr>
        <w:pStyle w:val="3"/>
        <w:bidi w:val="0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default" w:asciiTheme="minorEastAsia" w:hAnsiTheme="minorEastAsia" w:cstheme="minorEastAsia"/>
          <w:spacing w:val="12"/>
          <w:sz w:val="22"/>
          <w:szCs w:val="22"/>
        </w:rPr>
        <w:t>1、</w:t>
      </w:r>
      <w:r>
        <w:rPr>
          <w:rFonts w:hint="eastAsia" w:asciiTheme="minorEastAsia" w:hAnsiTheme="minorEastAsia" w:eastAsiaTheme="minorEastAsia" w:cstheme="minorEastAsia"/>
          <w:spacing w:val="12"/>
          <w:sz w:val="22"/>
          <w:szCs w:val="22"/>
        </w:rPr>
        <w:t xml:space="preserve">打开网址：  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eastAsia="zh-Hans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2"/>
          <w:szCs w:val="22"/>
          <w:lang w:eastAsia="zh-Hans"/>
        </w:rPr>
        <w:instrText xml:space="preserve"> HYPERLINK "http://gmis2.hutb.edu.cn/" </w:instrTex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eastAsia="zh-Hans"/>
        </w:rPr>
        <w:fldChar w:fldCharType="separate"/>
      </w:r>
      <w:r>
        <w:rPr>
          <w:rStyle w:val="6"/>
          <w:rFonts w:hint="eastAsia" w:asciiTheme="minorEastAsia" w:hAnsiTheme="minorEastAsia" w:eastAsiaTheme="minorEastAsia" w:cstheme="minorEastAsia"/>
          <w:sz w:val="22"/>
          <w:szCs w:val="22"/>
          <w:lang w:eastAsia="zh-Hans"/>
        </w:rPr>
        <w:t>http://gmis2.hutb.edu.cn/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eastAsia="zh-Hans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2"/>
          <w:szCs w:val="22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pacing w:val="12"/>
          <w:sz w:val="22"/>
          <w:szCs w:val="22"/>
        </w:rPr>
        <w:t>选择【</w:t>
      </w:r>
      <w:r>
        <w:rPr>
          <w:rFonts w:hint="eastAsia" w:asciiTheme="minorEastAsia" w:hAnsiTheme="minorEastAsia" w:cstheme="minorEastAsia"/>
          <w:spacing w:val="12"/>
          <w:sz w:val="22"/>
          <w:szCs w:val="22"/>
          <w:lang w:val="en-US" w:eastAsia="zh-Hans"/>
        </w:rPr>
        <w:t>学生</w:t>
      </w:r>
      <w:r>
        <w:rPr>
          <w:rFonts w:hint="eastAsia" w:asciiTheme="minorEastAsia" w:hAnsiTheme="minorEastAsia" w:eastAsiaTheme="minorEastAsia" w:cstheme="minorEastAsia"/>
          <w:spacing w:val="12"/>
          <w:sz w:val="22"/>
          <w:szCs w:val="22"/>
          <w:lang w:val="en-US" w:eastAsia="zh-Hans"/>
        </w:rPr>
        <w:t>用户</w:t>
      </w:r>
      <w:r>
        <w:rPr>
          <w:rFonts w:hint="eastAsia" w:asciiTheme="minorEastAsia" w:hAnsiTheme="minorEastAsia" w:eastAsiaTheme="minorEastAsia" w:cstheme="minorEastAsia"/>
          <w:spacing w:val="12"/>
          <w:sz w:val="22"/>
          <w:szCs w:val="22"/>
        </w:rPr>
        <w:t>】</w:t>
      </w:r>
      <w:r>
        <w:rPr>
          <w:rFonts w:hint="eastAsia" w:asciiTheme="minorEastAsia" w:hAnsiTheme="minorEastAsia" w:eastAsiaTheme="minorEastAsia" w:cstheme="minorEastAsia"/>
          <w:spacing w:val="12"/>
          <w:sz w:val="22"/>
          <w:szCs w:val="22"/>
          <w:lang w:val="en-US" w:eastAsia="zh-Hans"/>
        </w:rPr>
        <w:t>入口</w:t>
      </w:r>
    </w:p>
    <w:p>
      <w:pPr>
        <w:spacing w:line="245" w:lineRule="auto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drawing>
          <wp:inline distT="0" distB="0" distL="114300" distR="114300">
            <wp:extent cx="5261610" cy="2530475"/>
            <wp:effectExtent l="0" t="0" r="2159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45" w:lineRule="auto"/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2"/>
          <w:lang w:val="en-US" w:eastAsia="zh-Hans"/>
        </w:rPr>
        <w:t>首次登陆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  <w:t>需选择进入“机构账号登陆”页面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  <w:t>输入学号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/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  <w:t>工号及初始密码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：xwfw@1993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  <w:t>进行登陆并完善手机号信息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。</w:t>
      </w:r>
    </w:p>
    <w:p>
      <w:pPr>
        <w:numPr>
          <w:ilvl w:val="0"/>
          <w:numId w:val="0"/>
        </w:numPr>
        <w:spacing w:line="245" w:lineRule="auto"/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  <w:t>备注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：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  <w:t>若提示账号密码不正确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  <w:t>请尝试使用手机验证码登陆方式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。</w:t>
      </w:r>
    </w:p>
    <w:p>
      <w:pPr>
        <w:spacing w:line="245" w:lineRule="auto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5284470" cy="2715895"/>
            <wp:effectExtent l="0" t="0" r="2413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hint="eastAsia" w:asciiTheme="minorEastAsia" w:hAnsiTheme="minorEastAsia" w:eastAsiaTheme="minorEastAsia" w:cstheme="minorEastAsia"/>
          <w:sz w:val="22"/>
          <w:szCs w:val="2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napToGrid w:val="0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 w:val="0"/>
          <w:color w:val="000000"/>
          <w:kern w:val="0"/>
          <w:sz w:val="22"/>
          <w:szCs w:val="22"/>
          <w:lang w:eastAsia="zh-Hans" w:bidi="ar"/>
        </w:rPr>
        <w:t>2、</w:t>
      </w:r>
      <w:r>
        <w:rPr>
          <w:rFonts w:hint="eastAsia" w:asciiTheme="minorEastAsia" w:hAnsiTheme="minorEastAsia" w:eastAsiaTheme="minorEastAsia" w:cstheme="minorEastAsia"/>
          <w:snapToGrid w:val="0"/>
          <w:color w:val="000000"/>
          <w:kern w:val="0"/>
          <w:sz w:val="22"/>
          <w:szCs w:val="22"/>
          <w:lang w:val="en-US" w:eastAsia="zh-Hans" w:bidi="ar"/>
        </w:rPr>
        <w:t>完成首次登陆设置</w:t>
      </w:r>
      <w:r>
        <w:rPr>
          <w:rFonts w:hint="eastAsia" w:asciiTheme="minorEastAsia" w:hAnsiTheme="minorEastAsia" w:eastAsiaTheme="minorEastAsia" w:cstheme="minorEastAsia"/>
          <w:snapToGrid w:val="0"/>
          <w:color w:val="000000"/>
          <w:kern w:val="0"/>
          <w:sz w:val="22"/>
          <w:szCs w:val="22"/>
          <w:lang w:eastAsia="zh-Hans" w:bidi="ar"/>
        </w:rPr>
        <w:t>，</w:t>
      </w:r>
      <w:r>
        <w:rPr>
          <w:rFonts w:hint="eastAsia" w:asciiTheme="minorEastAsia" w:hAnsiTheme="minorEastAsia" w:eastAsiaTheme="minorEastAsia" w:cstheme="minorEastAsia"/>
          <w:snapToGrid w:val="0"/>
          <w:color w:val="000000"/>
          <w:kern w:val="0"/>
          <w:sz w:val="22"/>
          <w:szCs w:val="22"/>
          <w:lang w:val="en-US" w:eastAsia="zh-Hans" w:bidi="ar"/>
        </w:rPr>
        <w:t>后续登陆可</w:t>
      </w:r>
      <w:r>
        <w:rPr>
          <w:rFonts w:hint="eastAsia" w:asciiTheme="minorEastAsia" w:hAnsiTheme="minorEastAsia" w:eastAsiaTheme="minorEastAsia" w:cstheme="minorEastAsia"/>
          <w:snapToGrid w:val="0"/>
          <w:color w:val="000000"/>
          <w:kern w:val="0"/>
          <w:sz w:val="22"/>
          <w:szCs w:val="22"/>
          <w:lang w:val="en-US" w:eastAsia="zh-CN" w:bidi="ar"/>
        </w:rPr>
        <w:t>根据下列图示信息选择合适的登录方式</w:t>
      </w:r>
      <w:r>
        <w:rPr>
          <w:rFonts w:hint="eastAsia" w:asciiTheme="minorEastAsia" w:hAnsiTheme="minorEastAsia" w:eastAsiaTheme="minorEastAsia" w:cstheme="minorEastAsia"/>
          <w:snapToGrid w:val="0"/>
          <w:color w:val="000000"/>
          <w:kern w:val="0"/>
          <w:sz w:val="22"/>
          <w:szCs w:val="22"/>
          <w:lang w:eastAsia="zh-CN" w:bidi="ar"/>
        </w:rPr>
        <w:t>。</w:t>
      </w:r>
    </w:p>
    <w:p>
      <w:pPr>
        <w:spacing w:line="245" w:lineRule="auto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5291455" cy="2993390"/>
            <wp:effectExtent l="0" t="0" r="17145" b="381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hint="eastAsia" w:asciiTheme="minorEastAsia" w:hAnsiTheme="minorEastAsia" w:eastAsiaTheme="minorEastAsia" w:cstheme="minorEastAsia"/>
          <w:sz w:val="22"/>
          <w:szCs w:val="22"/>
        </w:rPr>
      </w:pPr>
    </w:p>
    <w:p>
      <w:pPr>
        <w:spacing w:line="245" w:lineRule="auto"/>
        <w:rPr>
          <w:rFonts w:hint="eastAsia" w:asciiTheme="minorEastAsia" w:hAnsiTheme="minorEastAsia" w:eastAsiaTheme="minorEastAsia" w:cstheme="minorEastAsia"/>
          <w:sz w:val="22"/>
          <w:szCs w:val="2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val="en-US" w:eastAsia="zh-CN" w:bidi="ar"/>
        </w:rPr>
        <w:t>备注：当使用手机号登陆，提示“该账号未注册时”，请使用工号及密码登录，并绑定 对应手机号。密码遗忘请联系超星工作人员</w:t>
      </w: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eastAsia="zh-CN" w:bidi="ar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val="en-US" w:eastAsia="zh-Hans" w:bidi="ar"/>
        </w:rPr>
        <w:t>已绑定手机号密码遗忘可使用页面忘记密码找回功能</w:t>
      </w: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eastAsia="zh-CN" w:bidi="ar"/>
        </w:rPr>
        <w:t>）</w:t>
      </w: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84470" cy="2949575"/>
            <wp:effectExtent l="0" t="0" r="24130" b="222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sz w:val="28"/>
          <w:szCs w:val="22"/>
          <w:lang w:eastAsia="zh-Hans"/>
        </w:rPr>
      </w:pPr>
      <w:r>
        <w:rPr>
          <w:rFonts w:hint="eastAsia"/>
          <w:sz w:val="28"/>
          <w:szCs w:val="22"/>
          <w:lang w:val="en-US" w:eastAsia="zh-Hans"/>
        </w:rPr>
        <w:t>二</w:t>
      </w:r>
      <w:r>
        <w:rPr>
          <w:rFonts w:hint="default"/>
          <w:sz w:val="28"/>
          <w:szCs w:val="22"/>
          <w:lang w:eastAsia="zh-Hans"/>
        </w:rPr>
        <w:t>、</w:t>
      </w:r>
      <w:r>
        <w:rPr>
          <w:rFonts w:hint="eastAsia"/>
          <w:sz w:val="28"/>
          <w:szCs w:val="22"/>
          <w:lang w:val="en-US" w:eastAsia="zh-Hans"/>
        </w:rPr>
        <w:t>培养方案管理及培养计划填写提交</w:t>
      </w:r>
    </w:p>
    <w:p>
      <w:pPr>
        <w:numPr>
          <w:ilvl w:val="0"/>
          <w:numId w:val="0"/>
        </w:numPr>
        <w:rPr>
          <w:rFonts w:hint="eastAsia"/>
          <w:b/>
          <w:bCs/>
          <w:sz w:val="22"/>
          <w:szCs w:val="28"/>
          <w:lang w:eastAsia="zh-Hans"/>
        </w:rPr>
      </w:pPr>
      <w:r>
        <w:rPr>
          <w:rFonts w:hint="default"/>
          <w:b/>
          <w:bCs/>
          <w:sz w:val="22"/>
          <w:szCs w:val="28"/>
          <w:lang w:eastAsia="zh-Hans"/>
        </w:rPr>
        <w:t>1</w:t>
      </w:r>
      <w:r>
        <w:rPr>
          <w:rFonts w:hint="eastAsia"/>
          <w:b/>
          <w:bCs/>
          <w:sz w:val="22"/>
          <w:szCs w:val="28"/>
          <w:lang w:val="en-US" w:eastAsia="zh-Hans"/>
        </w:rPr>
        <w:t>.登录后点击右上角名字后方小三角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下拉菜单选择个人空间</w:t>
      </w:r>
    </w:p>
    <w:p>
      <w:r>
        <w:drawing>
          <wp:inline distT="0" distB="0" distL="114300" distR="114300">
            <wp:extent cx="5268595" cy="1378585"/>
            <wp:effectExtent l="0" t="0" r="14605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sz w:val="22"/>
          <w:szCs w:val="28"/>
          <w:lang w:eastAsia="zh-Hans"/>
        </w:rPr>
      </w:pPr>
      <w:r>
        <w:rPr>
          <w:rFonts w:hint="default"/>
          <w:b/>
          <w:bCs/>
          <w:sz w:val="22"/>
          <w:szCs w:val="28"/>
          <w:lang w:eastAsia="zh-Hans"/>
        </w:rPr>
        <w:t>2</w:t>
      </w:r>
      <w:r>
        <w:rPr>
          <w:rFonts w:hint="eastAsia"/>
          <w:b/>
          <w:bCs/>
          <w:sz w:val="22"/>
          <w:szCs w:val="28"/>
          <w:lang w:val="en-US" w:eastAsia="zh-Hans"/>
        </w:rPr>
        <w:t>.点击应用中心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页面右侧出现应用</w:t>
      </w:r>
    </w:p>
    <w:p>
      <w:r>
        <w:drawing>
          <wp:inline distT="0" distB="0" distL="114300" distR="114300">
            <wp:extent cx="5269865" cy="2705100"/>
            <wp:effectExtent l="0" t="0" r="13335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sz w:val="22"/>
          <w:szCs w:val="28"/>
          <w:lang w:eastAsia="zh-Hans"/>
        </w:rPr>
      </w:pPr>
      <w:r>
        <w:rPr>
          <w:rFonts w:hint="default"/>
          <w:b/>
          <w:bCs/>
          <w:sz w:val="22"/>
          <w:szCs w:val="28"/>
          <w:lang w:eastAsia="zh-Hans"/>
        </w:rPr>
        <w:t>3</w:t>
      </w:r>
      <w:r>
        <w:rPr>
          <w:rFonts w:hint="eastAsia"/>
          <w:b/>
          <w:bCs/>
          <w:sz w:val="22"/>
          <w:szCs w:val="28"/>
          <w:lang w:val="en-US" w:eastAsia="zh-Hans"/>
        </w:rPr>
        <w:t>.下滑找到培养管理模块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点击</w:t>
      </w:r>
      <w:r>
        <w:rPr>
          <w:rFonts w:hint="default"/>
          <w:b/>
          <w:bCs/>
          <w:sz w:val="22"/>
          <w:szCs w:val="28"/>
          <w:lang w:eastAsia="zh-Hans"/>
        </w:rPr>
        <w:t>【</w:t>
      </w:r>
      <w:r>
        <w:rPr>
          <w:rFonts w:hint="eastAsia"/>
          <w:b/>
          <w:bCs/>
          <w:sz w:val="22"/>
          <w:szCs w:val="28"/>
          <w:lang w:val="en-US" w:eastAsia="zh-Hans"/>
        </w:rPr>
        <w:t>我的培养方案</w:t>
      </w:r>
      <w:r>
        <w:rPr>
          <w:rFonts w:hint="default"/>
          <w:b/>
          <w:bCs/>
          <w:sz w:val="22"/>
          <w:szCs w:val="28"/>
          <w:lang w:eastAsia="zh-Hans"/>
        </w:rPr>
        <w:t>】，</w:t>
      </w:r>
      <w:r>
        <w:rPr>
          <w:rFonts w:hint="eastAsia"/>
          <w:b/>
          <w:bCs/>
          <w:sz w:val="22"/>
          <w:szCs w:val="28"/>
          <w:lang w:val="en-US" w:eastAsia="zh-Hans"/>
        </w:rPr>
        <w:t>也可通过上面搜索功能进行检索</w:t>
      </w:r>
      <w:r>
        <w:rPr>
          <w:rFonts w:hint="default"/>
          <w:b/>
          <w:bCs/>
          <w:sz w:val="22"/>
          <w:szCs w:val="28"/>
          <w:lang w:eastAsia="zh-Hans"/>
        </w:rPr>
        <w:t>。</w:t>
      </w:r>
    </w:p>
    <w:p>
      <w:r>
        <w:drawing>
          <wp:inline distT="0" distB="0" distL="114300" distR="114300">
            <wp:extent cx="5269865" cy="2524125"/>
            <wp:effectExtent l="0" t="0" r="13335" b="158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进入培养方案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完成如下内容核对</w:t>
      </w:r>
      <w:r>
        <w:rPr>
          <w:rFonts w:hint="default"/>
          <w:lang w:eastAsia="zh-Hans"/>
        </w:rPr>
        <w:t>：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查看方案基础信息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方案名称是否匹配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所属专业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院系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培养层次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学生类型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学制等信息</w:t>
      </w:r>
      <w:r>
        <w:rPr>
          <w:rFonts w:hint="default"/>
          <w:lang w:eastAsia="zh-Hans"/>
        </w:rPr>
        <w:t>。</w:t>
      </w:r>
    </w:p>
    <w:p>
      <w:pPr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查看方案学分要求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左侧为课程总学分及各类别课程分数要求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右侧总学分包含实习实践项目</w:t>
      </w:r>
      <w:r>
        <w:rPr>
          <w:rFonts w:hint="default"/>
          <w:lang w:eastAsia="zh-Hans"/>
        </w:rPr>
        <w:t>。</w:t>
      </w:r>
    </w:p>
    <w:p>
      <w:r>
        <w:drawing>
          <wp:inline distT="0" distB="0" distL="114300" distR="114300">
            <wp:extent cx="5268595" cy="2800985"/>
            <wp:effectExtent l="0" t="0" r="14605" b="1841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default"/>
          <w:b/>
          <w:bCs/>
          <w:sz w:val="22"/>
          <w:szCs w:val="28"/>
          <w:lang w:eastAsia="zh-Hans"/>
        </w:rPr>
        <w:t>4</w:t>
      </w:r>
      <w:r>
        <w:rPr>
          <w:rFonts w:hint="eastAsia"/>
          <w:b/>
          <w:bCs/>
          <w:sz w:val="22"/>
          <w:szCs w:val="28"/>
          <w:lang w:val="en-US" w:eastAsia="zh-Hans"/>
        </w:rPr>
        <w:t>.确认培养方案无误后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点击页面左上角返回上级页面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点击进入制定培养计划</w:t>
      </w:r>
    </w:p>
    <w:p>
      <w:r>
        <w:drawing>
          <wp:inline distT="0" distB="0" distL="114300" distR="114300">
            <wp:extent cx="5268595" cy="2374900"/>
            <wp:effectExtent l="0" t="0" r="14605" b="1270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进入页面可看到多个培养计划模块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首先进入制定课程计划模块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点击制定计划</w:t>
      </w:r>
    </w:p>
    <w:p>
      <w:r>
        <w:drawing>
          <wp:inline distT="0" distB="0" distL="114300" distR="114300">
            <wp:extent cx="5264785" cy="2301875"/>
            <wp:effectExtent l="0" t="0" r="18415" b="952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sz w:val="22"/>
          <w:szCs w:val="28"/>
          <w:lang w:eastAsia="zh-Hans"/>
        </w:rPr>
      </w:pPr>
      <w:r>
        <w:rPr>
          <w:rFonts w:hint="default"/>
          <w:b/>
          <w:bCs/>
          <w:sz w:val="22"/>
          <w:szCs w:val="28"/>
          <w:lang w:eastAsia="zh-Hans"/>
        </w:rPr>
        <w:t>5</w:t>
      </w:r>
      <w:r>
        <w:rPr>
          <w:rFonts w:hint="eastAsia"/>
          <w:b/>
          <w:bCs/>
          <w:sz w:val="22"/>
          <w:szCs w:val="28"/>
          <w:lang w:val="en-US" w:eastAsia="zh-Hans"/>
        </w:rPr>
        <w:t>.进入后可以看到该计划课程要求总分</w:t>
      </w:r>
      <w:r>
        <w:rPr>
          <w:rFonts w:hint="default"/>
          <w:b/>
          <w:bCs/>
          <w:sz w:val="22"/>
          <w:szCs w:val="28"/>
          <w:lang w:eastAsia="zh-Hans"/>
        </w:rPr>
        <w:t>，【</w:t>
      </w:r>
      <w:r>
        <w:rPr>
          <w:rFonts w:hint="eastAsia"/>
          <w:b/>
          <w:bCs/>
          <w:sz w:val="22"/>
          <w:szCs w:val="28"/>
          <w:lang w:val="en-US" w:eastAsia="zh-Hans"/>
        </w:rPr>
        <w:t>要求学分</w:t>
      </w:r>
      <w:r>
        <w:rPr>
          <w:rFonts w:hint="default"/>
          <w:b/>
          <w:bCs/>
          <w:sz w:val="22"/>
          <w:szCs w:val="28"/>
          <w:lang w:eastAsia="zh-Hans"/>
        </w:rPr>
        <w:t>】</w:t>
      </w:r>
      <w:r>
        <w:rPr>
          <w:rFonts w:hint="eastAsia"/>
          <w:b/>
          <w:bCs/>
          <w:sz w:val="22"/>
          <w:szCs w:val="28"/>
          <w:lang w:val="en-US" w:eastAsia="zh-Hans"/>
        </w:rPr>
        <w:t>下面是方案的课程最低分数要求</w:t>
      </w:r>
      <w:r>
        <w:rPr>
          <w:rFonts w:hint="default"/>
          <w:b/>
          <w:bCs/>
          <w:sz w:val="22"/>
          <w:szCs w:val="28"/>
          <w:lang w:eastAsia="zh-Hans"/>
        </w:rPr>
        <w:t>，【</w:t>
      </w:r>
      <w:r>
        <w:rPr>
          <w:rFonts w:hint="eastAsia"/>
          <w:b/>
          <w:bCs/>
          <w:sz w:val="22"/>
          <w:szCs w:val="28"/>
          <w:lang w:val="en-US" w:eastAsia="zh-Hans"/>
        </w:rPr>
        <w:t>已选学分</w:t>
      </w:r>
      <w:r>
        <w:rPr>
          <w:rFonts w:hint="default"/>
          <w:b/>
          <w:bCs/>
          <w:sz w:val="22"/>
          <w:szCs w:val="28"/>
          <w:lang w:eastAsia="zh-Hans"/>
        </w:rPr>
        <w:t>】</w:t>
      </w:r>
      <w:r>
        <w:rPr>
          <w:rFonts w:hint="eastAsia"/>
          <w:b/>
          <w:bCs/>
          <w:sz w:val="22"/>
          <w:szCs w:val="28"/>
          <w:lang w:val="en-US" w:eastAsia="zh-Hans"/>
        </w:rPr>
        <w:t>下面的是目前计划中已选的学分数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每个方案都有不同程度的课程预先安排为必修课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所以已选学分不为</w:t>
      </w:r>
      <w:r>
        <w:rPr>
          <w:rFonts w:hint="default"/>
          <w:b/>
          <w:bCs/>
          <w:sz w:val="22"/>
          <w:szCs w:val="28"/>
          <w:lang w:eastAsia="zh-Hans"/>
        </w:rPr>
        <w:t>0。</w:t>
      </w:r>
    </w:p>
    <w:p>
      <w:r>
        <w:drawing>
          <wp:inline distT="0" distB="0" distL="114300" distR="114300">
            <wp:extent cx="5264785" cy="2165350"/>
            <wp:effectExtent l="0" t="0" r="18415" b="19050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sz w:val="22"/>
          <w:szCs w:val="28"/>
          <w:lang w:eastAsia="zh-Hans"/>
        </w:rPr>
      </w:pPr>
      <w:r>
        <w:rPr>
          <w:rFonts w:hint="default"/>
          <w:b/>
          <w:bCs/>
          <w:sz w:val="22"/>
          <w:szCs w:val="28"/>
          <w:lang w:eastAsia="zh-Hans"/>
        </w:rPr>
        <w:t>6</w:t>
      </w:r>
      <w:r>
        <w:rPr>
          <w:rFonts w:hint="eastAsia"/>
          <w:b/>
          <w:bCs/>
          <w:sz w:val="22"/>
          <w:szCs w:val="28"/>
          <w:lang w:val="en-US" w:eastAsia="zh-Hans"/>
        </w:rPr>
        <w:t>.查看各项分数是否满足要求学分最低分数线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如果低于要求分数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需要自行选课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直到课程满足各项分数要求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选课具体要求参见各学院培养方案要求</w:t>
      </w:r>
      <w:r>
        <w:rPr>
          <w:rFonts w:hint="default"/>
          <w:b/>
          <w:bCs/>
          <w:sz w:val="22"/>
          <w:szCs w:val="28"/>
          <w:lang w:eastAsia="zh-Hans"/>
        </w:rPr>
        <w:t>。</w:t>
      </w:r>
    </w:p>
    <w:p>
      <w:r>
        <w:drawing>
          <wp:inline distT="0" distB="0" distL="114300" distR="114300">
            <wp:extent cx="5271135" cy="2369820"/>
            <wp:effectExtent l="0" t="0" r="12065" b="1778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培养计划固定课程为“是”的课程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是预先置入的必修课程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不用再选</w:t>
      </w:r>
      <w:r>
        <w:rPr>
          <w:rFonts w:hint="default"/>
          <w:lang w:eastAsia="zh-Hans"/>
        </w:rPr>
        <w:t>。</w:t>
      </w:r>
    </w:p>
    <w:p>
      <w:r>
        <w:drawing>
          <wp:inline distT="0" distB="0" distL="114300" distR="114300">
            <wp:extent cx="5265420" cy="2816225"/>
            <wp:effectExtent l="0" t="0" r="17780" b="317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2"/>
          <w:szCs w:val="28"/>
          <w:lang w:val="en-US" w:eastAsia="zh-Hans"/>
        </w:rPr>
      </w:pPr>
      <w:r>
        <w:rPr>
          <w:rFonts w:hint="default"/>
          <w:b/>
          <w:bCs/>
          <w:sz w:val="22"/>
          <w:szCs w:val="28"/>
          <w:lang w:eastAsia="zh-Hans"/>
        </w:rPr>
        <w:t>7</w:t>
      </w:r>
      <w:r>
        <w:rPr>
          <w:rFonts w:hint="eastAsia"/>
          <w:b/>
          <w:bCs/>
          <w:sz w:val="22"/>
          <w:szCs w:val="28"/>
          <w:lang w:val="en-US" w:eastAsia="zh-Hans"/>
        </w:rPr>
        <w:t>.为满足培养方案要求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对需要自选的课程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点击新建课程</w:t>
      </w:r>
      <w:r>
        <w:rPr>
          <w:rFonts w:hint="default"/>
          <w:b/>
          <w:bCs/>
          <w:sz w:val="22"/>
          <w:szCs w:val="28"/>
          <w:lang w:eastAsia="zh-Hans"/>
        </w:rPr>
        <w:t>。</w:t>
      </w:r>
    </w:p>
    <w:p>
      <w:r>
        <w:drawing>
          <wp:inline distT="0" distB="0" distL="114300" distR="114300">
            <wp:extent cx="5272405" cy="2713355"/>
            <wp:effectExtent l="0" t="0" r="10795" b="4445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进入页面后可以看到备选课程库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可以通过课程名称及课程类别来进行筛选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查找想要添加的课程</w:t>
      </w:r>
      <w:r>
        <w:rPr>
          <w:rFonts w:hint="default"/>
          <w:lang w:eastAsia="zh-Hans"/>
        </w:rPr>
        <w:t>。</w:t>
      </w:r>
    </w:p>
    <w:p>
      <w:r>
        <w:drawing>
          <wp:inline distT="0" distB="0" distL="114300" distR="114300">
            <wp:extent cx="5269865" cy="2673350"/>
            <wp:effectExtent l="0" t="0" r="13335" b="1905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Hans"/>
        </w:rPr>
        <w:t>核对课程编号及名称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看是否与培养方案一致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确认后点击添加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状态变为已添加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则成功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可通过翻页查看更多课程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添加所有课程后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点击确定</w:t>
      </w:r>
      <w:r>
        <w:rPr>
          <w:rFonts w:hint="default"/>
          <w:lang w:eastAsia="zh-Hans"/>
        </w:rPr>
        <w:t>。</w:t>
      </w:r>
    </w:p>
    <w:p>
      <w:r>
        <w:drawing>
          <wp:inline distT="0" distB="0" distL="114300" distR="114300">
            <wp:extent cx="5260975" cy="2705735"/>
            <wp:effectExtent l="0" t="0" r="22225" b="12065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2253615"/>
            <wp:effectExtent l="0" t="0" r="18415" b="6985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2"/>
          <w:szCs w:val="28"/>
          <w:lang w:val="en-US" w:eastAsia="zh-Hans"/>
        </w:rPr>
      </w:pPr>
      <w:r>
        <w:rPr>
          <w:rFonts w:hint="default"/>
          <w:b/>
          <w:bCs/>
          <w:sz w:val="22"/>
          <w:szCs w:val="28"/>
          <w:lang w:eastAsia="zh-Hans"/>
        </w:rPr>
        <w:t>8</w:t>
      </w:r>
      <w:r>
        <w:rPr>
          <w:rFonts w:hint="eastAsia"/>
          <w:b/>
          <w:bCs/>
          <w:sz w:val="22"/>
          <w:szCs w:val="28"/>
          <w:lang w:val="en-US" w:eastAsia="zh-Hans"/>
        </w:rPr>
        <w:t>.点击确定后页面跳转回到制定课程计划页面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核对各项课程已选学分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确定满足要求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点击保存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课程计划制定完成</w:t>
      </w:r>
      <w:r>
        <w:rPr>
          <w:rFonts w:hint="default"/>
          <w:b/>
          <w:bCs/>
          <w:sz w:val="22"/>
          <w:szCs w:val="28"/>
          <w:lang w:eastAsia="zh-Hans"/>
        </w:rPr>
        <w:t>。</w:t>
      </w:r>
    </w:p>
    <w:p>
      <w:r>
        <w:drawing>
          <wp:inline distT="0" distB="0" distL="114300" distR="114300">
            <wp:extent cx="5266055" cy="2662555"/>
            <wp:effectExtent l="0" t="0" r="17145" b="4445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sz w:val="22"/>
          <w:szCs w:val="28"/>
          <w:lang w:eastAsia="zh-Hans"/>
        </w:rPr>
      </w:pPr>
      <w:r>
        <w:rPr>
          <w:rFonts w:hint="default"/>
          <w:b/>
          <w:bCs/>
          <w:sz w:val="22"/>
          <w:szCs w:val="28"/>
          <w:lang w:eastAsia="zh-Hans"/>
        </w:rPr>
        <w:t>9</w:t>
      </w:r>
      <w:r>
        <w:rPr>
          <w:rFonts w:hint="eastAsia"/>
          <w:b/>
          <w:bCs/>
          <w:sz w:val="22"/>
          <w:szCs w:val="28"/>
          <w:lang w:val="en-US" w:eastAsia="zh-Hans"/>
        </w:rPr>
        <w:t>.点击页面左上角制定培养计划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回到制定培养计划页面</w:t>
      </w:r>
      <w:r>
        <w:rPr>
          <w:rFonts w:hint="default"/>
          <w:b/>
          <w:bCs/>
          <w:sz w:val="22"/>
          <w:szCs w:val="28"/>
          <w:lang w:eastAsia="zh-Hans"/>
        </w:rPr>
        <w:t>。</w:t>
      </w:r>
      <w:r>
        <w:rPr>
          <w:rFonts w:hint="eastAsia"/>
          <w:b/>
          <w:bCs/>
          <w:sz w:val="22"/>
          <w:szCs w:val="28"/>
          <w:lang w:val="en-US" w:eastAsia="zh-Hans"/>
        </w:rPr>
        <w:t>此时页面所有模块都已解锁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制定课程计划及制定必修环节计划为常规项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</w:p>
    <w:p>
      <w:r>
        <w:drawing>
          <wp:inline distT="0" distB="0" distL="114300" distR="114300">
            <wp:extent cx="5269865" cy="2284730"/>
            <wp:effectExtent l="0" t="0" r="13335" b="1270"/>
            <wp:docPr id="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sz w:val="22"/>
          <w:szCs w:val="28"/>
          <w:lang w:eastAsia="zh-Hans"/>
        </w:rPr>
      </w:pPr>
      <w:r>
        <w:rPr>
          <w:rFonts w:hint="default"/>
          <w:b/>
          <w:bCs/>
          <w:sz w:val="22"/>
          <w:szCs w:val="28"/>
          <w:lang w:eastAsia="zh-Hans"/>
        </w:rPr>
        <w:t>10</w:t>
      </w:r>
      <w:r>
        <w:rPr>
          <w:rFonts w:hint="eastAsia"/>
          <w:b/>
          <w:bCs/>
          <w:sz w:val="22"/>
          <w:szCs w:val="28"/>
          <w:lang w:val="en-US" w:eastAsia="zh-Hans"/>
        </w:rPr>
        <w:t>.选择制定必修环节计划</w:t>
      </w:r>
      <w:r>
        <w:rPr>
          <w:rFonts w:hint="default"/>
          <w:b/>
          <w:bCs/>
          <w:sz w:val="22"/>
          <w:szCs w:val="28"/>
          <w:lang w:eastAsia="zh-Hans"/>
        </w:rPr>
        <w:t>。</w:t>
      </w:r>
    </w:p>
    <w:p>
      <w:r>
        <w:drawing>
          <wp:inline distT="0" distB="0" distL="114300" distR="114300">
            <wp:extent cx="5269865" cy="2213610"/>
            <wp:effectExtent l="0" t="0" r="13335" b="2159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进入页面后首先核对已选学分是否满足要求学分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如不满足则点击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新增必修环节</w:t>
      </w:r>
      <w:r>
        <w:rPr>
          <w:rFonts w:hint="default"/>
          <w:lang w:eastAsia="zh-Hans"/>
        </w:rPr>
        <w:t>】。</w:t>
      </w:r>
      <w:r>
        <w:rPr>
          <w:rFonts w:hint="eastAsia"/>
          <w:lang w:val="en-US" w:eastAsia="zh-Hans"/>
        </w:rPr>
        <w:t>针对已经预置的必修环节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需要核对必修环节名称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类型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学分并</w:t>
      </w:r>
      <w:r>
        <w:rPr>
          <w:rFonts w:hint="eastAsia"/>
          <w:u w:val="single"/>
          <w:lang w:val="en-US" w:eastAsia="zh-Hans"/>
        </w:rPr>
        <w:t>填写计划</w:t>
      </w:r>
      <w:r>
        <w:rPr>
          <w:rFonts w:hint="default"/>
          <w:lang w:eastAsia="zh-Hans"/>
        </w:rPr>
        <w:t>，</w:t>
      </w:r>
      <w:r>
        <w:rPr>
          <w:rFonts w:hint="eastAsia"/>
          <w:u w:val="single"/>
          <w:lang w:val="en-US" w:eastAsia="zh-Hans"/>
        </w:rPr>
        <w:t>最后点击保存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完成该模块制定</w:t>
      </w:r>
      <w:r>
        <w:rPr>
          <w:rFonts w:hint="default"/>
          <w:lang w:eastAsia="zh-Hans"/>
        </w:rPr>
        <w:t>。</w:t>
      </w:r>
    </w:p>
    <w:p>
      <w:r>
        <w:drawing>
          <wp:inline distT="0" distB="0" distL="114300" distR="114300">
            <wp:extent cx="5263515" cy="2439670"/>
            <wp:effectExtent l="0" t="0" r="19685" b="241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2507615"/>
            <wp:effectExtent l="0" t="0" r="18415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2"/>
          <w:szCs w:val="28"/>
          <w:lang w:val="en-US" w:eastAsia="zh-Hans"/>
        </w:rPr>
      </w:pPr>
      <w:r>
        <w:rPr>
          <w:rFonts w:hint="default"/>
          <w:b/>
          <w:bCs/>
          <w:sz w:val="22"/>
          <w:szCs w:val="28"/>
          <w:lang w:eastAsia="zh-Hans"/>
        </w:rPr>
        <w:t>15</w:t>
      </w:r>
      <w:r>
        <w:rPr>
          <w:rFonts w:hint="eastAsia"/>
          <w:b/>
          <w:bCs/>
          <w:sz w:val="22"/>
          <w:szCs w:val="28"/>
          <w:lang w:val="en-US" w:eastAsia="zh-Hans"/>
        </w:rPr>
        <w:t>.全部填写并保存后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点击请签名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手机扫描二维码签名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或点击直接签名在电脑端签名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该签名将用于纸版培养计划文件材料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请确保签名清晰准确</w:t>
      </w:r>
      <w:r>
        <w:rPr>
          <w:rFonts w:hint="default"/>
          <w:b/>
          <w:bCs/>
          <w:sz w:val="22"/>
          <w:szCs w:val="28"/>
          <w:lang w:eastAsia="zh-Hans"/>
        </w:rPr>
        <w:t>。</w:t>
      </w:r>
    </w:p>
    <w:p>
      <w:r>
        <w:drawing>
          <wp:inline distT="0" distB="0" distL="114300" distR="114300">
            <wp:extent cx="5272405" cy="2404745"/>
            <wp:effectExtent l="0" t="0" r="10795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2"/>
          <w:szCs w:val="28"/>
          <w:lang w:val="en-US" w:eastAsia="zh-Hans"/>
        </w:rPr>
      </w:pPr>
      <w:r>
        <w:rPr>
          <w:rFonts w:hint="default"/>
          <w:b/>
          <w:bCs/>
          <w:sz w:val="22"/>
          <w:szCs w:val="28"/>
          <w:lang w:eastAsia="zh-Hans"/>
        </w:rPr>
        <w:t>16</w:t>
      </w:r>
      <w:r>
        <w:rPr>
          <w:rFonts w:hint="eastAsia"/>
          <w:b/>
          <w:bCs/>
          <w:sz w:val="22"/>
          <w:szCs w:val="28"/>
          <w:lang w:val="en-US" w:eastAsia="zh-Hans"/>
        </w:rPr>
        <w:t>.点击提交审核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完成培养计划制定</w:t>
      </w:r>
    </w:p>
    <w:p>
      <w:r>
        <w:drawing>
          <wp:inline distT="0" distB="0" distL="114300" distR="114300">
            <wp:extent cx="5262245" cy="2336165"/>
            <wp:effectExtent l="0" t="0" r="20955" b="6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default"/>
          <w:b/>
          <w:bCs/>
          <w:sz w:val="22"/>
          <w:szCs w:val="28"/>
          <w:lang w:eastAsia="zh-Hans"/>
        </w:rPr>
        <w:t>17</w:t>
      </w:r>
      <w:r>
        <w:rPr>
          <w:rFonts w:hint="eastAsia"/>
          <w:b/>
          <w:bCs/>
          <w:sz w:val="22"/>
          <w:szCs w:val="28"/>
          <w:lang w:val="en-US" w:eastAsia="zh-Hans"/>
        </w:rPr>
        <w:t>.点击提交审核后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可以通过点击培养计划审核状态</w:t>
      </w:r>
      <w:r>
        <w:rPr>
          <w:rFonts w:hint="default"/>
          <w:b/>
          <w:bCs/>
          <w:sz w:val="22"/>
          <w:szCs w:val="28"/>
          <w:lang w:eastAsia="zh-Hans"/>
        </w:rPr>
        <w:t>，</w:t>
      </w:r>
      <w:r>
        <w:rPr>
          <w:rFonts w:hint="eastAsia"/>
          <w:b/>
          <w:bCs/>
          <w:sz w:val="22"/>
          <w:szCs w:val="28"/>
          <w:lang w:val="en-US" w:eastAsia="zh-Hans"/>
        </w:rPr>
        <w:t>查看审核详情</w:t>
      </w:r>
      <w:r>
        <w:rPr>
          <w:rFonts w:hint="default"/>
          <w:b/>
          <w:bCs/>
          <w:sz w:val="22"/>
          <w:szCs w:val="28"/>
          <w:lang w:eastAsia="zh-Hans"/>
        </w:rPr>
        <w:t>。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62245" cy="2174875"/>
            <wp:effectExtent l="0" t="0" r="20955" b="95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FFCC9E"/>
    <w:multiLevelType w:val="singleLevel"/>
    <w:tmpl w:val="BDFFCC9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DCF4B0"/>
    <w:rsid w:val="4D7B95E2"/>
    <w:rsid w:val="55BA6875"/>
    <w:rsid w:val="65DCF4B0"/>
    <w:rsid w:val="73DF3717"/>
    <w:rsid w:val="7DEF218E"/>
    <w:rsid w:val="7F35234B"/>
    <w:rsid w:val="7FFB701F"/>
    <w:rsid w:val="BF65C64C"/>
    <w:rsid w:val="DCF97704"/>
    <w:rsid w:val="EDFF4AA0"/>
    <w:rsid w:val="EE6999DE"/>
    <w:rsid w:val="EFEBCCE5"/>
    <w:rsid w:val="FD371392"/>
    <w:rsid w:val="FF57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Office_4.6.0.7435_F1E327BC-269C-435d-A152-05C5408002CA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2023-01-13T05:23:00Z</dcterms:created>
  <dc:creator>curly_pp</dc:creator>
  <cp:lastModifiedBy>Yang.</cp:lastModifiedBy>
  <dcterms:modified xsi:type="dcterms:W3CDTF">2023-09-26T14:30:20Z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2052-4.6.0.7435</vt:lpwstr>
  </property>
  <property fmtid="{D5CDD505-2E9C-101B-9397-08002B2CF9AE}" pid="3" name="ICV">
    <vt:lpwstr>DDBA47535CFCDB114C561165A7C662B9</vt:lpwstr>
  </property>
</Properties>
</file>